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Calibri" w:cs="Calibri" w:eastAsia="Calibri" w:hAnsi="Calibri"/>
          <w:b/>
          <w:bCs/>
          <w:color w:val="1F3864"/>
          <w:sz w:val="30"/>
          <w:szCs w:val="30"/>
        </w:rPr>
        <w:t xml:space="preserve">CHECKLIST PARA CONSTITUIR UNA SOCIEDAD</w:t>
      </w:r>
    </w:p>
    <w:p>
      <w:pPr>
        <w:spacing w:after="60"/>
        <w:jc w:val="center"/>
      </w:pPr>
      <w:r>
        <w:rPr>
          <w:rFonts w:ascii="Calibri" w:cs="Calibri" w:eastAsia="Calibri" w:hAnsi="Calibri"/>
          <w:color w:val="2E5090"/>
          <w:sz w:val="24"/>
          <w:szCs w:val="24"/>
        </w:rPr>
        <w:t xml:space="preserve">Documentos, decisiones y orden de los trámites</w:t>
      </w:r>
    </w:p>
    <w:p>
      <w:pPr>
        <w:pBdr>
          <w:bottom w:val="single" w:color="1F3864" w:sz="12"/>
        </w:pBdr>
        <w:spacing w:after="200"/>
        <w:jc w:val="center"/>
      </w:pPr>
    </w:p>
    <w:p>
      <w:pPr>
        <w:pBdr>
          <w:top w:val="single" w:color="E0A800" w:sz="4"/>
          <w:bottom w:val="single" w:color="E0A800" w:sz="4"/>
          <w:left w:val="single" w:color="E0A800" w:sz="4"/>
          <w:right w:val="single" w:color="E0A800" w:sz="4"/>
        </w:pBdr>
        <w:shd w:fill="FFF4E5" w:val="clear"/>
        <w:spacing w:after="160"/>
        <w:jc w:val="both"/>
      </w:pPr>
      <w:r>
        <w:rPr>
          <w:rFonts w:ascii="Calibri" w:cs="Calibri" w:eastAsia="Calibri" w:hAnsi="Calibri"/>
          <w:b/>
          <w:bCs/>
          <w:sz w:val="18"/>
          <w:szCs w:val="18"/>
        </w:rPr>
        <w:t xml:space="preserve">CÓMO USARLO: </w:t>
      </w:r>
      <w:r>
        <w:rPr>
          <w:rFonts w:ascii="Calibri" w:cs="Calibri" w:eastAsia="Calibri" w:hAnsi="Calibri"/>
          <w:sz w:val="18"/>
          <w:szCs w:val="18"/>
        </w:rPr>
        <w:t xml:space="preserve">marca cada casilla conforme reúnas los documentos. Las secciones están en el orden real del trámite: primero las decisiones, después los papeles de cada socio y al final los pasos ante el fedatario. Llegar a la notaría con todo completo es lo que evita la segunda visita.</w:t>
      </w:r>
    </w:p>
    <w:p>
      <w:pPr>
        <w:spacing w:after="100" w:before="260"/>
      </w:pPr>
      <w:r>
        <w:rPr>
          <w:rFonts w:ascii="Calibri" w:cs="Calibri" w:eastAsia="Calibri" w:hAnsi="Calibri"/>
          <w:b/>
          <w:bCs/>
          <w:color w:val="1F3864"/>
          <w:sz w:val="24"/>
          <w:szCs w:val="24"/>
        </w:rPr>
        <w:t xml:space="preserve">1. Decisiones previas (antes de cualquier trámite)</w:t>
      </w:r>
    </w:p>
    <w:p>
      <w:pPr>
        <w:spacing w:after="90"/>
        <w:ind w:left="200"/>
      </w:pPr>
      <w:r>
        <w:rPr>
          <w:rFonts w:ascii="Calibri" w:cs="Calibri" w:eastAsia="Calibri" w:hAnsi="Calibri"/>
          <w:color w:val="2E5090"/>
          <w:sz w:val="24"/>
          <w:szCs w:val="24"/>
        </w:rPr>
        <w:t xml:space="preserve">☐   </w:t>
      </w:r>
      <w:r>
        <w:rPr>
          <w:rFonts w:ascii="Calibri" w:cs="Calibri" w:eastAsia="Calibri" w:hAnsi="Calibri"/>
          <w:sz w:val="22"/>
          <w:szCs w:val="22"/>
        </w:rPr>
        <w:t xml:space="preserve">Figura legal elegida (S.A. de C.V., S. de R.L. de C.V., S.C., A.C. o SAS).</w:t>
      </w:r>
    </w:p>
    <w:p>
      <w:pPr>
        <w:spacing w:after="90"/>
        <w:ind w:left="200"/>
      </w:pPr>
      <w:r>
        <w:rPr>
          <w:rFonts w:ascii="Calibri" w:cs="Calibri" w:eastAsia="Calibri" w:hAnsi="Calibri"/>
          <w:color w:val="2E5090"/>
          <w:sz w:val="24"/>
          <w:szCs w:val="24"/>
        </w:rPr>
        <w:t xml:space="preserve">☐   </w:t>
      </w:r>
      <w:r>
        <w:rPr>
          <w:rFonts w:ascii="Calibri" w:cs="Calibri" w:eastAsia="Calibri" w:hAnsi="Calibri"/>
          <w:sz w:val="22"/>
          <w:szCs w:val="22"/>
        </w:rPr>
        <w:t xml:space="preserve">Número de socios o accionistas definido, con un mínimo de dos salvo en la SAS.</w:t>
      </w:r>
    </w:p>
    <w:p>
      <w:pPr>
        <w:spacing w:after="90"/>
        <w:ind w:left="200"/>
      </w:pPr>
      <w:r>
        <w:rPr>
          <w:rFonts w:ascii="Calibri" w:cs="Calibri" w:eastAsia="Calibri" w:hAnsi="Calibri"/>
          <w:color w:val="2E5090"/>
          <w:sz w:val="24"/>
          <w:szCs w:val="24"/>
        </w:rPr>
        <w:t xml:space="preserve">☐   </w:t>
      </w:r>
      <w:r>
        <w:rPr>
          <w:rFonts w:ascii="Calibri" w:cs="Calibri" w:eastAsia="Calibri" w:hAnsi="Calibri"/>
          <w:sz w:val="22"/>
          <w:szCs w:val="22"/>
        </w:rPr>
        <w:t xml:space="preserve">Objeto social redactado, incluyendo las actividades previstas a dos o tres años.</w:t>
      </w:r>
    </w:p>
    <w:p>
      <w:pPr>
        <w:spacing w:after="90"/>
        <w:ind w:left="200"/>
      </w:pPr>
      <w:r>
        <w:rPr>
          <w:rFonts w:ascii="Calibri" w:cs="Calibri" w:eastAsia="Calibri" w:hAnsi="Calibri"/>
          <w:color w:val="2E5090"/>
          <w:sz w:val="24"/>
          <w:szCs w:val="24"/>
        </w:rPr>
        <w:t xml:space="preserve">☐   </w:t>
      </w:r>
      <w:r>
        <w:rPr>
          <w:rFonts w:ascii="Calibri" w:cs="Calibri" w:eastAsia="Calibri" w:hAnsi="Calibri"/>
          <w:sz w:val="22"/>
          <w:szCs w:val="22"/>
        </w:rPr>
        <w:t xml:space="preserve">Capital social definido y reparto acordado entre los socios por escrito.</w:t>
      </w:r>
    </w:p>
    <w:p>
      <w:pPr>
        <w:spacing w:after="90"/>
        <w:ind w:left="200"/>
      </w:pPr>
      <w:r>
        <w:rPr>
          <w:rFonts w:ascii="Calibri" w:cs="Calibri" w:eastAsia="Calibri" w:hAnsi="Calibri"/>
          <w:color w:val="2E5090"/>
          <w:sz w:val="24"/>
          <w:szCs w:val="24"/>
        </w:rPr>
        <w:t xml:space="preserve">☐   </w:t>
      </w:r>
      <w:r>
        <w:rPr>
          <w:rFonts w:ascii="Calibri" w:cs="Calibri" w:eastAsia="Calibri" w:hAnsi="Calibri"/>
          <w:sz w:val="22"/>
          <w:szCs w:val="22"/>
        </w:rPr>
        <w:t xml:space="preserve">Decidido quién administra: administrador único o consejo, y con qué facultades.</w:t>
      </w:r>
    </w:p>
    <w:p>
      <w:pPr>
        <w:spacing w:after="90"/>
        <w:ind w:left="200"/>
      </w:pPr>
      <w:r>
        <w:rPr>
          <w:rFonts w:ascii="Calibri" w:cs="Calibri" w:eastAsia="Calibri" w:hAnsi="Calibri"/>
          <w:color w:val="2E5090"/>
          <w:sz w:val="24"/>
          <w:szCs w:val="24"/>
        </w:rPr>
        <w:t xml:space="preserve">☐   </w:t>
      </w:r>
      <w:r>
        <w:rPr>
          <w:rFonts w:ascii="Calibri" w:cs="Calibri" w:eastAsia="Calibri" w:hAnsi="Calibri"/>
          <w:sz w:val="22"/>
          <w:szCs w:val="22"/>
        </w:rPr>
        <w:t xml:space="preserve">Decidido quién será comisario (obligatorio en la sociedad anónima).</w:t>
      </w:r>
    </w:p>
    <w:p>
      <w:pPr>
        <w:spacing w:after="90"/>
        <w:ind w:left="200"/>
      </w:pPr>
      <w:r>
        <w:rPr>
          <w:rFonts w:ascii="Calibri" w:cs="Calibri" w:eastAsia="Calibri" w:hAnsi="Calibri"/>
          <w:color w:val="2E5090"/>
          <w:sz w:val="24"/>
          <w:szCs w:val="24"/>
        </w:rPr>
        <w:t xml:space="preserve">☐   </w:t>
      </w:r>
      <w:r>
        <w:rPr>
          <w:rFonts w:ascii="Calibri" w:cs="Calibri" w:eastAsia="Calibri" w:hAnsi="Calibri"/>
          <w:sz w:val="22"/>
          <w:szCs w:val="22"/>
        </w:rPr>
        <w:t xml:space="preserve">Domicilio social elegido: basta ciudad y estado, no la calle exacta.</w:t>
      </w:r>
    </w:p>
    <w:p>
      <w:pPr>
        <w:spacing w:after="90"/>
        <w:ind w:left="200"/>
      </w:pPr>
      <w:r>
        <w:rPr>
          <w:rFonts w:ascii="Calibri" w:cs="Calibri" w:eastAsia="Calibri" w:hAnsi="Calibri"/>
          <w:color w:val="2E5090"/>
          <w:sz w:val="24"/>
          <w:szCs w:val="24"/>
        </w:rPr>
        <w:t xml:space="preserve">☐   </w:t>
      </w:r>
      <w:r>
        <w:rPr>
          <w:rFonts w:ascii="Calibri" w:cs="Calibri" w:eastAsia="Calibri" w:hAnsi="Calibri"/>
          <w:sz w:val="22"/>
          <w:szCs w:val="22"/>
        </w:rPr>
        <w:t xml:space="preserve">Duración de la sociedad: indefinida o por un plazo determinado.</w:t>
      </w:r>
    </w:p>
    <w:p>
      <w:pPr>
        <w:pBdr>
          <w:top w:val="single" w:color="2E5090" w:sz="4"/>
          <w:bottom w:val="single" w:color="2E5090" w:sz="4"/>
          <w:left w:val="single" w:color="2E5090" w:sz="12"/>
          <w:right w:val="single" w:color="2E5090" w:sz="4"/>
        </w:pBdr>
        <w:shd w:fill="EEF3FA" w:val="clear"/>
        <w:spacing w:after="200" w:before="60"/>
        <w:jc w:val="both"/>
      </w:pPr>
      <w:r>
        <w:rPr>
          <w:rFonts w:ascii="Calibri" w:cs="Calibri" w:eastAsia="Calibri" w:hAnsi="Calibri"/>
          <w:b/>
          <w:bCs/>
          <w:color w:val="1F3864"/>
          <w:sz w:val="19"/>
          <w:szCs w:val="19"/>
        </w:rPr>
        <w:t xml:space="preserve">NOTA — El orden importa:  </w:t>
      </w:r>
      <w:r>
        <w:rPr>
          <w:rFonts w:ascii="Calibri" w:cs="Calibri" w:eastAsia="Calibri" w:hAnsi="Calibri"/>
          <w:color w:val="2b3948"/>
          <w:sz w:val="19"/>
          <w:szCs w:val="19"/>
        </w:rPr>
        <w:t xml:space="preserve">Si eliges la figura al final, tendrás que rehacer decisiones. El tipo de sociedad determina el mínimo de socios, si el comisario es obligatorio y cómo se divide el capital.</w:t>
      </w:r>
    </w:p>
    <w:p>
      <w:pPr>
        <w:spacing w:after="100" w:before="260"/>
      </w:pPr>
      <w:r>
        <w:rPr>
          <w:rFonts w:ascii="Calibri" w:cs="Calibri" w:eastAsia="Calibri" w:hAnsi="Calibri"/>
          <w:b/>
          <w:bCs/>
          <w:color w:val="1F3864"/>
          <w:sz w:val="24"/>
          <w:szCs w:val="24"/>
        </w:rPr>
        <w:t xml:space="preserve">2. Autorización de denominación</w:t>
      </w:r>
    </w:p>
    <w:p>
      <w:pPr>
        <w:spacing w:after="90"/>
        <w:ind w:left="200"/>
      </w:pPr>
      <w:r>
        <w:rPr>
          <w:rFonts w:ascii="Calibri" w:cs="Calibri" w:eastAsia="Calibri" w:hAnsi="Calibri"/>
          <w:color w:val="2E5090"/>
          <w:sz w:val="24"/>
          <w:szCs w:val="24"/>
        </w:rPr>
        <w:t xml:space="preserve">☐   </w:t>
      </w:r>
      <w:r>
        <w:rPr>
          <w:rFonts w:ascii="Calibri" w:cs="Calibri" w:eastAsia="Calibri" w:hAnsi="Calibri"/>
          <w:sz w:val="22"/>
          <w:szCs w:val="22"/>
        </w:rPr>
        <w:t xml:space="preserve">Tres opciones de nombre preparadas, por si la primera ya está tomada.</w:t>
      </w:r>
    </w:p>
    <w:p>
      <w:pPr>
        <w:spacing w:after="90"/>
        <w:ind w:left="200"/>
      </w:pPr>
      <w:r>
        <w:rPr>
          <w:rFonts w:ascii="Calibri" w:cs="Calibri" w:eastAsia="Calibri" w:hAnsi="Calibri"/>
          <w:color w:val="2E5090"/>
          <w:sz w:val="24"/>
          <w:szCs w:val="24"/>
        </w:rPr>
        <w:t xml:space="preserve">☐   </w:t>
      </w:r>
      <w:r>
        <w:rPr>
          <w:rFonts w:ascii="Calibri" w:cs="Calibri" w:eastAsia="Calibri" w:hAnsi="Calibri"/>
          <w:sz w:val="22"/>
          <w:szCs w:val="22"/>
        </w:rPr>
        <w:t xml:space="preserve">Solicitud presentada en línea ante la Secretaría de Economía (trámite gratuito).</w:t>
      </w:r>
    </w:p>
    <w:p>
      <w:pPr>
        <w:spacing w:after="90"/>
        <w:ind w:left="200"/>
      </w:pPr>
      <w:r>
        <w:rPr>
          <w:rFonts w:ascii="Calibri" w:cs="Calibri" w:eastAsia="Calibri" w:hAnsi="Calibri"/>
          <w:color w:val="2E5090"/>
          <w:sz w:val="24"/>
          <w:szCs w:val="24"/>
        </w:rPr>
        <w:t xml:space="preserve">☐   </w:t>
      </w:r>
      <w:r>
        <w:rPr>
          <w:rFonts w:ascii="Calibri" w:cs="Calibri" w:eastAsia="Calibri" w:hAnsi="Calibri"/>
          <w:sz w:val="22"/>
          <w:szCs w:val="22"/>
        </w:rPr>
        <w:t xml:space="preserve">Autorización recibida y con vigencia verificada.</w:t>
      </w:r>
    </w:p>
    <w:p>
      <w:pPr>
        <w:pBdr>
          <w:top w:val="single" w:color="2E5090" w:sz="4"/>
          <w:bottom w:val="single" w:color="2E5090" w:sz="4"/>
          <w:left w:val="single" w:color="2E5090" w:sz="12"/>
          <w:right w:val="single" w:color="2E5090" w:sz="4"/>
        </w:pBdr>
        <w:shd w:fill="EEF3FA" w:val="clear"/>
        <w:spacing w:after="200" w:before="60"/>
        <w:jc w:val="both"/>
      </w:pPr>
      <w:r>
        <w:rPr>
          <w:rFonts w:ascii="Calibri" w:cs="Calibri" w:eastAsia="Calibri" w:hAnsi="Calibri"/>
          <w:b/>
          <w:bCs/>
          <w:color w:val="1F3864"/>
          <w:sz w:val="19"/>
          <w:szCs w:val="19"/>
        </w:rPr>
        <w:t xml:space="preserve">NOTA — Vigencia limitada:  </w:t>
      </w:r>
      <w:r>
        <w:rPr>
          <w:rFonts w:ascii="Calibri" w:cs="Calibri" w:eastAsia="Calibri" w:hAnsi="Calibri"/>
          <w:color w:val="2b3948"/>
          <w:sz w:val="19"/>
          <w:szCs w:val="19"/>
        </w:rPr>
        <w:t xml:space="preserve">La autorización caduca. Conviene tramitarla cuando ya tengas fecha con el notario, no meses antes, para no repetir el trámite.</w:t>
      </w:r>
    </w:p>
    <w:p>
      <w:pPr>
        <w:spacing w:after="100" w:before="260"/>
      </w:pPr>
      <w:r>
        <w:rPr>
          <w:rFonts w:ascii="Calibri" w:cs="Calibri" w:eastAsia="Calibri" w:hAnsi="Calibri"/>
          <w:b/>
          <w:bCs/>
          <w:color w:val="1F3864"/>
          <w:sz w:val="24"/>
          <w:szCs w:val="24"/>
        </w:rPr>
        <w:t xml:space="preserve">3. Documentos de cada socio (una copia por persona)</w:t>
      </w:r>
    </w:p>
    <w:p>
      <w:pPr>
        <w:spacing w:after="90"/>
        <w:ind w:left="200"/>
      </w:pPr>
      <w:r>
        <w:rPr>
          <w:rFonts w:ascii="Calibri" w:cs="Calibri" w:eastAsia="Calibri" w:hAnsi="Calibri"/>
          <w:color w:val="2E5090"/>
          <w:sz w:val="24"/>
          <w:szCs w:val="24"/>
        </w:rPr>
        <w:t xml:space="preserve">☐   </w:t>
      </w:r>
      <w:r>
        <w:rPr>
          <w:rFonts w:ascii="Calibri" w:cs="Calibri" w:eastAsia="Calibri" w:hAnsi="Calibri"/>
          <w:sz w:val="22"/>
          <w:szCs w:val="22"/>
        </w:rPr>
        <w:t xml:space="preserve">Identificación oficial vigente: INE, pasaporte o cédula profesional.</w:t>
      </w:r>
    </w:p>
    <w:p>
      <w:pPr>
        <w:spacing w:after="90"/>
        <w:ind w:left="200"/>
      </w:pPr>
      <w:r>
        <w:rPr>
          <w:rFonts w:ascii="Calibri" w:cs="Calibri" w:eastAsia="Calibri" w:hAnsi="Calibri"/>
          <w:color w:val="2E5090"/>
          <w:sz w:val="24"/>
          <w:szCs w:val="24"/>
        </w:rPr>
        <w:t xml:space="preserve">☐   </w:t>
      </w:r>
      <w:r>
        <w:rPr>
          <w:rFonts w:ascii="Calibri" w:cs="Calibri" w:eastAsia="Calibri" w:hAnsi="Calibri"/>
          <w:sz w:val="22"/>
          <w:szCs w:val="22"/>
        </w:rPr>
        <w:t xml:space="preserve">CURP impresa y legible.</w:t>
      </w:r>
    </w:p>
    <w:p>
      <w:pPr>
        <w:spacing w:after="90"/>
        <w:ind w:left="200"/>
      </w:pPr>
      <w:r>
        <w:rPr>
          <w:rFonts w:ascii="Calibri" w:cs="Calibri" w:eastAsia="Calibri" w:hAnsi="Calibri"/>
          <w:color w:val="2E5090"/>
          <w:sz w:val="24"/>
          <w:szCs w:val="24"/>
        </w:rPr>
        <w:t xml:space="preserve">☐   </w:t>
      </w:r>
      <w:r>
        <w:rPr>
          <w:rFonts w:ascii="Calibri" w:cs="Calibri" w:eastAsia="Calibri" w:hAnsi="Calibri"/>
          <w:sz w:val="22"/>
          <w:szCs w:val="22"/>
        </w:rPr>
        <w:t xml:space="preserve">RFC con constancia de situación fiscal actualizada.</w:t>
      </w:r>
    </w:p>
    <w:p>
      <w:pPr>
        <w:spacing w:after="90"/>
        <w:ind w:left="200"/>
      </w:pPr>
      <w:r>
        <w:rPr>
          <w:rFonts w:ascii="Calibri" w:cs="Calibri" w:eastAsia="Calibri" w:hAnsi="Calibri"/>
          <w:color w:val="2E5090"/>
          <w:sz w:val="24"/>
          <w:szCs w:val="24"/>
        </w:rPr>
        <w:t xml:space="preserve">☐   </w:t>
      </w:r>
      <w:r>
        <w:rPr>
          <w:rFonts w:ascii="Calibri" w:cs="Calibri" w:eastAsia="Calibri" w:hAnsi="Calibri"/>
          <w:sz w:val="22"/>
          <w:szCs w:val="22"/>
        </w:rPr>
        <w:t xml:space="preserve">Comprobante de domicilio con antigüedad menor a tres meses.</w:t>
      </w:r>
    </w:p>
    <w:p>
      <w:pPr>
        <w:spacing w:after="90"/>
        <w:ind w:left="200"/>
      </w:pPr>
      <w:r>
        <w:rPr>
          <w:rFonts w:ascii="Calibri" w:cs="Calibri" w:eastAsia="Calibri" w:hAnsi="Calibri"/>
          <w:color w:val="2E5090"/>
          <w:sz w:val="24"/>
          <w:szCs w:val="24"/>
        </w:rPr>
        <w:t xml:space="preserve">☐   </w:t>
      </w:r>
      <w:r>
        <w:rPr>
          <w:rFonts w:ascii="Calibri" w:cs="Calibri" w:eastAsia="Calibri" w:hAnsi="Calibri"/>
          <w:sz w:val="22"/>
          <w:szCs w:val="22"/>
        </w:rPr>
        <w:t xml:space="preserve">Acta de nacimiento (algunas notarías la solicitan).</w:t>
      </w:r>
    </w:p>
    <w:p>
      <w:pPr>
        <w:spacing w:after="90"/>
        <w:ind w:left="200"/>
      </w:pPr>
      <w:r>
        <w:rPr>
          <w:rFonts w:ascii="Calibri" w:cs="Calibri" w:eastAsia="Calibri" w:hAnsi="Calibri"/>
          <w:color w:val="2E5090"/>
          <w:sz w:val="24"/>
          <w:szCs w:val="24"/>
        </w:rPr>
        <w:t xml:space="preserve">☐   </w:t>
      </w:r>
      <w:r>
        <w:rPr>
          <w:rFonts w:ascii="Calibri" w:cs="Calibri" w:eastAsia="Calibri" w:hAnsi="Calibri"/>
          <w:sz w:val="22"/>
          <w:szCs w:val="22"/>
        </w:rPr>
        <w:t xml:space="preserve">En caso de socio extranjero: documento migratorio vigente y documentación apostillada.</w:t>
      </w:r>
    </w:p>
    <w:p>
      <w:pPr>
        <w:spacing w:after="90"/>
        <w:ind w:left="200"/>
      </w:pPr>
      <w:r>
        <w:rPr>
          <w:rFonts w:ascii="Calibri" w:cs="Calibri" w:eastAsia="Calibri" w:hAnsi="Calibri"/>
          <w:color w:val="2E5090"/>
          <w:sz w:val="24"/>
          <w:szCs w:val="24"/>
        </w:rPr>
        <w:t xml:space="preserve">☐   </w:t>
      </w:r>
      <w:r>
        <w:rPr>
          <w:rFonts w:ascii="Calibri" w:cs="Calibri" w:eastAsia="Calibri" w:hAnsi="Calibri"/>
          <w:sz w:val="22"/>
          <w:szCs w:val="22"/>
        </w:rPr>
        <w:t xml:space="preserve">En caso de socio persona moral: acta constitutiva, poder del representante e identificación de este.</w:t>
      </w:r>
    </w:p>
    <w:p>
      <w:pPr>
        <w:pBdr>
          <w:top w:val="single" w:color="2E5090" w:sz="4"/>
          <w:bottom w:val="single" w:color="2E5090" w:sz="4"/>
          <w:left w:val="single" w:color="2E5090" w:sz="12"/>
          <w:right w:val="single" w:color="2E5090" w:sz="4"/>
        </w:pBdr>
        <w:shd w:fill="EEF3FA" w:val="clear"/>
        <w:spacing w:after="200" w:before="60"/>
        <w:jc w:val="both"/>
      </w:pPr>
      <w:r>
        <w:rPr>
          <w:rFonts w:ascii="Calibri" w:cs="Calibri" w:eastAsia="Calibri" w:hAnsi="Calibri"/>
          <w:b/>
          <w:bCs/>
          <w:color w:val="1F3864"/>
          <w:sz w:val="19"/>
          <w:szCs w:val="19"/>
        </w:rPr>
        <w:t xml:space="preserve">NOTA — El error que más devoluciones causa:  </w:t>
      </w:r>
      <w:r>
        <w:rPr>
          <w:rFonts w:ascii="Calibri" w:cs="Calibri" w:eastAsia="Calibri" w:hAnsi="Calibri"/>
          <w:color w:val="2b3948"/>
          <w:sz w:val="19"/>
          <w:szCs w:val="19"/>
        </w:rPr>
        <w:t xml:space="preserve">Los nombres, RFC y CURP deben coincidir letra por letra con la identificación y con la constancia fiscal. Un carácter distinto obliga a corregir la escritura.</w:t>
      </w:r>
    </w:p>
    <w:p>
      <w:pPr>
        <w:spacing w:after="100" w:before="260"/>
      </w:pPr>
      <w:r>
        <w:rPr>
          <w:rFonts w:ascii="Calibri" w:cs="Calibri" w:eastAsia="Calibri" w:hAnsi="Calibri"/>
          <w:b/>
          <w:bCs/>
          <w:color w:val="1F3864"/>
          <w:sz w:val="24"/>
          <w:szCs w:val="24"/>
        </w:rPr>
        <w:t xml:space="preserve">4. Antes de firmar ante el fedatario</w:t>
      </w:r>
    </w:p>
    <w:p>
      <w:pPr>
        <w:spacing w:after="90"/>
        <w:ind w:left="200"/>
      </w:pPr>
      <w:r>
        <w:rPr>
          <w:rFonts w:ascii="Calibri" w:cs="Calibri" w:eastAsia="Calibri" w:hAnsi="Calibri"/>
          <w:color w:val="2E5090"/>
          <w:sz w:val="24"/>
          <w:szCs w:val="24"/>
        </w:rPr>
        <w:t xml:space="preserve">☐   </w:t>
      </w:r>
      <w:r>
        <w:rPr>
          <w:rFonts w:ascii="Calibri" w:cs="Calibri" w:eastAsia="Calibri" w:hAnsi="Calibri"/>
          <w:sz w:val="22"/>
          <w:szCs w:val="22"/>
        </w:rPr>
        <w:t xml:space="preserve">Proyecto de acta redactado o plantilla adaptada a la figura elegida.</w:t>
      </w:r>
    </w:p>
    <w:p>
      <w:pPr>
        <w:spacing w:after="90"/>
        <w:ind w:left="200"/>
      </w:pPr>
      <w:r>
        <w:rPr>
          <w:rFonts w:ascii="Calibri" w:cs="Calibri" w:eastAsia="Calibri" w:hAnsi="Calibri"/>
          <w:color w:val="2E5090"/>
          <w:sz w:val="24"/>
          <w:szCs w:val="24"/>
        </w:rPr>
        <w:t xml:space="preserve">☐   </w:t>
      </w:r>
      <w:r>
        <w:rPr>
          <w:rFonts w:ascii="Calibri" w:cs="Calibri" w:eastAsia="Calibri" w:hAnsi="Calibri"/>
          <w:sz w:val="22"/>
          <w:szCs w:val="22"/>
        </w:rPr>
        <w:t xml:space="preserve">Cotizaciones solicitadas a tres notarías, desglosadas por concepto.</w:t>
      </w:r>
    </w:p>
    <w:p>
      <w:pPr>
        <w:spacing w:after="90"/>
        <w:ind w:left="200"/>
      </w:pPr>
      <w:r>
        <w:rPr>
          <w:rFonts w:ascii="Calibri" w:cs="Calibri" w:eastAsia="Calibri" w:hAnsi="Calibri"/>
          <w:color w:val="2E5090"/>
          <w:sz w:val="24"/>
          <w:szCs w:val="24"/>
        </w:rPr>
        <w:t xml:space="preserve">☐   </w:t>
      </w:r>
      <w:r>
        <w:rPr>
          <w:rFonts w:ascii="Calibri" w:cs="Calibri" w:eastAsia="Calibri" w:hAnsi="Calibri"/>
          <w:sz w:val="22"/>
          <w:szCs w:val="22"/>
        </w:rPr>
        <w:t xml:space="preserve">Verificado cuántos poderes incluye el precio y el costo de cada poder extra.</w:t>
      </w:r>
    </w:p>
    <w:p>
      <w:pPr>
        <w:spacing w:after="90"/>
        <w:ind w:left="200"/>
      </w:pPr>
      <w:r>
        <w:rPr>
          <w:rFonts w:ascii="Calibri" w:cs="Calibri" w:eastAsia="Calibri" w:hAnsi="Calibri"/>
          <w:color w:val="2E5090"/>
          <w:sz w:val="24"/>
          <w:szCs w:val="24"/>
        </w:rPr>
        <w:t xml:space="preserve">☐   </w:t>
      </w:r>
      <w:r>
        <w:rPr>
          <w:rFonts w:ascii="Calibri" w:cs="Calibri" w:eastAsia="Calibri" w:hAnsi="Calibri"/>
          <w:sz w:val="22"/>
          <w:szCs w:val="22"/>
        </w:rPr>
        <w:t xml:space="preserve">Confirmado si la cotización incluye los derechos de inscripción registral.</w:t>
      </w:r>
    </w:p>
    <w:p>
      <w:pPr>
        <w:spacing w:after="90"/>
        <w:ind w:left="200"/>
      </w:pPr>
      <w:r>
        <w:rPr>
          <w:rFonts w:ascii="Calibri" w:cs="Calibri" w:eastAsia="Calibri" w:hAnsi="Calibri"/>
          <w:color w:val="2E5090"/>
          <w:sz w:val="24"/>
          <w:szCs w:val="24"/>
        </w:rPr>
        <w:t xml:space="preserve">☐   </w:t>
      </w:r>
      <w:r>
        <w:rPr>
          <w:rFonts w:ascii="Calibri" w:cs="Calibri" w:eastAsia="Calibri" w:hAnsi="Calibri"/>
          <w:sz w:val="22"/>
          <w:szCs w:val="22"/>
        </w:rPr>
        <w:t xml:space="preserve">Definido quién será delegado especial para protocolizar e inscribir.</w:t>
      </w:r>
    </w:p>
    <w:p>
      <w:pPr>
        <w:spacing w:after="90"/>
        <w:ind w:left="200"/>
      </w:pPr>
      <w:r>
        <w:rPr>
          <w:rFonts w:ascii="Calibri" w:cs="Calibri" w:eastAsia="Calibri" w:hAnsi="Calibri"/>
          <w:color w:val="2E5090"/>
          <w:sz w:val="24"/>
          <w:szCs w:val="24"/>
        </w:rPr>
        <w:t xml:space="preserve">☐   </w:t>
      </w:r>
      <w:r>
        <w:rPr>
          <w:rFonts w:ascii="Calibri" w:cs="Calibri" w:eastAsia="Calibri" w:hAnsi="Calibri"/>
          <w:sz w:val="22"/>
          <w:szCs w:val="22"/>
        </w:rPr>
        <w:t xml:space="preserve">En sociedad anónima: verificado que se exhibirá al menos el 20% del valor de las acciones pagadas en efectivo.</w:t>
      </w:r>
    </w:p>
    <w:p>
      <w:pPr>
        <w:spacing w:after="90"/>
        <w:ind w:left="200"/>
      </w:pPr>
      <w:r>
        <w:rPr>
          <w:rFonts w:ascii="Calibri" w:cs="Calibri" w:eastAsia="Calibri" w:hAnsi="Calibri"/>
          <w:color w:val="2E5090"/>
          <w:sz w:val="24"/>
          <w:szCs w:val="24"/>
        </w:rPr>
        <w:t xml:space="preserve">☐   </w:t>
      </w:r>
      <w:r>
        <w:rPr>
          <w:rFonts w:ascii="Calibri" w:cs="Calibri" w:eastAsia="Calibri" w:hAnsi="Calibri"/>
          <w:sz w:val="22"/>
          <w:szCs w:val="22"/>
        </w:rPr>
        <w:t xml:space="preserve">Cita agendada con todos los socios disponibles el mismo día.</w:t>
      </w:r>
    </w:p>
    <w:p>
      <w:pPr>
        <w:spacing w:after="100" w:before="260"/>
      </w:pPr>
      <w:r>
        <w:rPr>
          <w:rFonts w:ascii="Calibri" w:cs="Calibri" w:eastAsia="Calibri" w:hAnsi="Calibri"/>
          <w:b/>
          <w:bCs/>
          <w:color w:val="1F3864"/>
          <w:sz w:val="24"/>
          <w:szCs w:val="24"/>
        </w:rPr>
        <w:t xml:space="preserve">5. Después de la firma</w:t>
      </w:r>
    </w:p>
    <w:p>
      <w:pPr>
        <w:spacing w:after="90"/>
        <w:ind w:left="200"/>
      </w:pPr>
      <w:r>
        <w:rPr>
          <w:rFonts w:ascii="Calibri" w:cs="Calibri" w:eastAsia="Calibri" w:hAnsi="Calibri"/>
          <w:color w:val="2E5090"/>
          <w:sz w:val="24"/>
          <w:szCs w:val="24"/>
        </w:rPr>
        <w:t xml:space="preserve">☐   </w:t>
      </w:r>
      <w:r>
        <w:rPr>
          <w:rFonts w:ascii="Calibri" w:cs="Calibri" w:eastAsia="Calibri" w:hAnsi="Calibri"/>
          <w:sz w:val="22"/>
          <w:szCs w:val="22"/>
        </w:rPr>
        <w:t xml:space="preserve">Escritura inscrita en el Registro Público de Comercio.</w:t>
      </w:r>
    </w:p>
    <w:p>
      <w:pPr>
        <w:spacing w:after="90"/>
        <w:ind w:left="200"/>
      </w:pPr>
      <w:r>
        <w:rPr>
          <w:rFonts w:ascii="Calibri" w:cs="Calibri" w:eastAsia="Calibri" w:hAnsi="Calibri"/>
          <w:color w:val="2E5090"/>
          <w:sz w:val="24"/>
          <w:szCs w:val="24"/>
        </w:rPr>
        <w:t xml:space="preserve">☐   </w:t>
      </w:r>
      <w:r>
        <w:rPr>
          <w:rFonts w:ascii="Calibri" w:cs="Calibri" w:eastAsia="Calibri" w:hAnsi="Calibri"/>
          <w:sz w:val="22"/>
          <w:szCs w:val="22"/>
        </w:rPr>
        <w:t xml:space="preserve">Boleta de inscripción recibida y archivada.</w:t>
      </w:r>
    </w:p>
    <w:p>
      <w:pPr>
        <w:spacing w:after="90"/>
        <w:ind w:left="200"/>
      </w:pPr>
      <w:r>
        <w:rPr>
          <w:rFonts w:ascii="Calibri" w:cs="Calibri" w:eastAsia="Calibri" w:hAnsi="Calibri"/>
          <w:color w:val="2E5090"/>
          <w:sz w:val="24"/>
          <w:szCs w:val="24"/>
        </w:rPr>
        <w:t xml:space="preserve">☐   </w:t>
      </w:r>
      <w:r>
        <w:rPr>
          <w:rFonts w:ascii="Calibri" w:cs="Calibri" w:eastAsia="Calibri" w:hAnsi="Calibri"/>
          <w:sz w:val="22"/>
          <w:szCs w:val="22"/>
        </w:rPr>
        <w:t xml:space="preserve">RFC de la persona moral tramitado ante el SAT.</w:t>
      </w:r>
    </w:p>
    <w:p>
      <w:pPr>
        <w:spacing w:after="90"/>
        <w:ind w:left="200"/>
      </w:pPr>
      <w:r>
        <w:rPr>
          <w:rFonts w:ascii="Calibri" w:cs="Calibri" w:eastAsia="Calibri" w:hAnsi="Calibri"/>
          <w:color w:val="2E5090"/>
          <w:sz w:val="24"/>
          <w:szCs w:val="24"/>
        </w:rPr>
        <w:t xml:space="preserve">☐   </w:t>
      </w:r>
      <w:r>
        <w:rPr>
          <w:rFonts w:ascii="Calibri" w:cs="Calibri" w:eastAsia="Calibri" w:hAnsi="Calibri"/>
          <w:sz w:val="22"/>
          <w:szCs w:val="22"/>
        </w:rPr>
        <w:t xml:space="preserve">e.firma de la sociedad obtenida.</w:t>
      </w:r>
    </w:p>
    <w:p>
      <w:pPr>
        <w:spacing w:after="90"/>
        <w:ind w:left="200"/>
      </w:pPr>
      <w:r>
        <w:rPr>
          <w:rFonts w:ascii="Calibri" w:cs="Calibri" w:eastAsia="Calibri" w:hAnsi="Calibri"/>
          <w:color w:val="2E5090"/>
          <w:sz w:val="24"/>
          <w:szCs w:val="24"/>
        </w:rPr>
        <w:t xml:space="preserve">☐   </w:t>
      </w:r>
      <w:r>
        <w:rPr>
          <w:rFonts w:ascii="Calibri" w:cs="Calibri" w:eastAsia="Calibri" w:hAnsi="Calibri"/>
          <w:sz w:val="22"/>
          <w:szCs w:val="22"/>
        </w:rPr>
        <w:t xml:space="preserve">Cuenta bancaria empresarial abierta.</w:t>
      </w:r>
    </w:p>
    <w:p>
      <w:pPr>
        <w:spacing w:after="90"/>
        <w:ind w:left="200"/>
      </w:pPr>
      <w:r>
        <w:rPr>
          <w:rFonts w:ascii="Calibri" w:cs="Calibri" w:eastAsia="Calibri" w:hAnsi="Calibri"/>
          <w:color w:val="2E5090"/>
          <w:sz w:val="24"/>
          <w:szCs w:val="24"/>
        </w:rPr>
        <w:t xml:space="preserve">☐   </w:t>
      </w:r>
      <w:r>
        <w:rPr>
          <w:rFonts w:ascii="Calibri" w:cs="Calibri" w:eastAsia="Calibri" w:hAnsi="Calibri"/>
          <w:sz w:val="22"/>
          <w:szCs w:val="22"/>
        </w:rPr>
        <w:t xml:space="preserve">Alta patronal ante el IMSS si habrá empleados.</w:t>
      </w:r>
    </w:p>
    <w:p>
      <w:pPr>
        <w:spacing w:after="90"/>
        <w:ind w:left="200"/>
      </w:pPr>
      <w:r>
        <w:rPr>
          <w:rFonts w:ascii="Calibri" w:cs="Calibri" w:eastAsia="Calibri" w:hAnsi="Calibri"/>
          <w:color w:val="2E5090"/>
          <w:sz w:val="24"/>
          <w:szCs w:val="24"/>
        </w:rPr>
        <w:t xml:space="preserve">☐   </w:t>
      </w:r>
      <w:r>
        <w:rPr>
          <w:rFonts w:ascii="Calibri" w:cs="Calibri" w:eastAsia="Calibri" w:hAnsi="Calibri"/>
          <w:sz w:val="22"/>
          <w:szCs w:val="22"/>
        </w:rPr>
        <w:t xml:space="preserve">Libro de registro de acciones nominativas abierto (sociedad anónima).</w:t>
      </w:r>
    </w:p>
    <w:p>
      <w:pPr>
        <w:spacing w:after="90"/>
        <w:ind w:left="200"/>
      </w:pPr>
      <w:r>
        <w:rPr>
          <w:rFonts w:ascii="Calibri" w:cs="Calibri" w:eastAsia="Calibri" w:hAnsi="Calibri"/>
          <w:color w:val="2E5090"/>
          <w:sz w:val="24"/>
          <w:szCs w:val="24"/>
        </w:rPr>
        <w:t xml:space="preserve">☐   </w:t>
      </w:r>
      <w:r>
        <w:rPr>
          <w:rFonts w:ascii="Calibri" w:cs="Calibri" w:eastAsia="Calibri" w:hAnsi="Calibri"/>
          <w:sz w:val="22"/>
          <w:szCs w:val="22"/>
        </w:rPr>
        <w:t xml:space="preserve">Copias certificadas del acta guardadas en lugar seguro.</w:t>
      </w:r>
    </w:p>
    <w:p>
      <w:pPr>
        <w:pBdr>
          <w:top w:val="single" w:color="2E5090" w:sz="4"/>
          <w:bottom w:val="single" w:color="2E5090" w:sz="4"/>
          <w:left w:val="single" w:color="2E5090" w:sz="12"/>
          <w:right w:val="single" w:color="2E5090" w:sz="4"/>
        </w:pBdr>
        <w:shd w:fill="EEF3FA" w:val="clear"/>
        <w:spacing w:after="200" w:before="60"/>
        <w:jc w:val="both"/>
      </w:pPr>
      <w:r>
        <w:rPr>
          <w:rFonts w:ascii="Calibri" w:cs="Calibri" w:eastAsia="Calibri" w:hAnsi="Calibri"/>
          <w:b/>
          <w:bCs/>
          <w:color w:val="1F3864"/>
          <w:sz w:val="19"/>
          <w:szCs w:val="19"/>
        </w:rPr>
        <w:t xml:space="preserve">NOTA — Lo que se olvida después:  </w:t>
      </w:r>
      <w:r>
        <w:rPr>
          <w:rFonts w:ascii="Calibri" w:cs="Calibri" w:eastAsia="Calibri" w:hAnsi="Calibri"/>
          <w:color w:val="2b3948"/>
          <w:sz w:val="19"/>
          <w:szCs w:val="19"/>
        </w:rPr>
        <w:t xml:space="preserve">El libro de registro de acciones y la conservación de las copias certificadas. Sin el libro actualizado no se puede acreditar quién es accionista frente a terceros ni ante la autoridad fiscal.</w:t>
      </w:r>
    </w:p>
    <w:p>
      <w:pPr>
        <w:spacing w:after="100" w:before="260"/>
      </w:pPr>
      <w:r>
        <w:rPr>
          <w:rFonts w:ascii="Calibri" w:cs="Calibri" w:eastAsia="Calibri" w:hAnsi="Calibri"/>
          <w:b/>
          <w:bCs/>
          <w:color w:val="1F3864"/>
          <w:sz w:val="24"/>
          <w:szCs w:val="24"/>
        </w:rPr>
        <w:t xml:space="preserve">6. Registro de avance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46%"/>
          </w:tcPr>
          <w:p>
            <w:pPr>
              <w:spacing w:after="40"/>
            </w:pPr>
            <w:r>
              <w:rPr>
                <w:rFonts w:ascii="Calibri" w:cs="Calibri" w:eastAsia="Calibri" w:hAnsi="Calibri"/>
                <w:b/>
                <w:bCs/>
                <w:sz w:val="20"/>
                <w:szCs w:val="20"/>
              </w:rPr>
              <w:t xml:space="preserve">Etapa</w:t>
            </w:r>
          </w:p>
        </w:tc>
        <w:tc>
          <w:tcPr>
            <w:tcW w:type="pct" w:w="27%"/>
          </w:tcPr>
          <w:p>
            <w:pPr>
              <w:spacing w:after="40"/>
            </w:pPr>
            <w:r>
              <w:rPr>
                <w:rFonts w:ascii="Calibri" w:cs="Calibri" w:eastAsia="Calibri" w:hAnsi="Calibri"/>
                <w:b/>
                <w:bCs/>
                <w:sz w:val="20"/>
                <w:szCs w:val="20"/>
              </w:rPr>
              <w:t xml:space="preserve">Fecha</w:t>
            </w:r>
          </w:p>
        </w:tc>
        <w:tc>
          <w:tcPr>
            <w:tcW w:type="pct" w:w="27%"/>
          </w:tcPr>
          <w:p>
            <w:pPr>
              <w:spacing w:after="40"/>
            </w:pPr>
            <w:r>
              <w:rPr>
                <w:rFonts w:ascii="Calibri" w:cs="Calibri" w:eastAsia="Calibri" w:hAnsi="Calibri"/>
                <w:b/>
                <w:bCs/>
                <w:sz w:val="20"/>
                <w:szCs w:val="20"/>
              </w:rPr>
              <w:t xml:space="preserve">Estado</w:t>
            </w:r>
          </w:p>
        </w:tc>
      </w:tr>
      <w:tr>
        <w:tc>
          <w:tcPr>
            <w:tcW w:type="pct" w:w="46%"/>
          </w:tcPr>
          <w:p>
            <w:pPr>
              <w:spacing w:after="40"/>
            </w:pPr>
            <w:r>
              <w:rPr>
                <w:rFonts w:ascii="Calibri" w:cs="Calibri" w:eastAsia="Calibri" w:hAnsi="Calibri"/>
                <w:b w:val="false"/>
                <w:bCs w:val="false"/>
                <w:sz w:val="20"/>
                <w:szCs w:val="20"/>
              </w:rPr>
              <w:t xml:space="preserve">Autorización de denominación</w:t>
            </w:r>
          </w:p>
        </w:tc>
        <w:tc>
          <w:tcPr>
            <w:tcW w:type="pct" w:w="27%"/>
          </w:tcPr>
          <w:p>
            <w:pPr>
              <w:spacing w:after="40"/>
            </w:pPr>
            <w:r>
              <w:rPr>
                <w:rFonts w:ascii="Calibri" w:cs="Calibri" w:eastAsia="Calibri" w:hAnsi="Calibri"/>
                <w:b w:val="false"/>
                <w:bCs w:val="false"/>
                <w:sz w:val="20"/>
                <w:szCs w:val="20"/>
              </w:rPr>
              <w:t xml:space="preserve"/>
            </w:r>
          </w:p>
        </w:tc>
        <w:tc>
          <w:tcPr>
            <w:tcW w:type="pct" w:w="27%"/>
          </w:tcPr>
          <w:p>
            <w:pPr>
              <w:spacing w:after="40"/>
            </w:pPr>
            <w:r>
              <w:rPr>
                <w:rFonts w:ascii="Calibri" w:cs="Calibri" w:eastAsia="Calibri" w:hAnsi="Calibri"/>
                <w:b w:val="false"/>
                <w:bCs w:val="false"/>
                <w:sz w:val="20"/>
                <w:szCs w:val="20"/>
              </w:rPr>
              <w:t xml:space="preserve"/>
            </w:r>
          </w:p>
        </w:tc>
      </w:tr>
      <w:tr>
        <w:tc>
          <w:tcPr>
            <w:tcW w:type="pct" w:w="46%"/>
          </w:tcPr>
          <w:p>
            <w:pPr>
              <w:spacing w:after="40"/>
            </w:pPr>
            <w:r>
              <w:rPr>
                <w:rFonts w:ascii="Calibri" w:cs="Calibri" w:eastAsia="Calibri" w:hAnsi="Calibri"/>
                <w:b w:val="false"/>
                <w:bCs w:val="false"/>
                <w:sz w:val="20"/>
                <w:szCs w:val="20"/>
              </w:rPr>
              <w:t xml:space="preserve">Proyecto de acta listo</w:t>
            </w:r>
          </w:p>
        </w:tc>
        <w:tc>
          <w:tcPr>
            <w:tcW w:type="pct" w:w="27%"/>
          </w:tcPr>
          <w:p>
            <w:pPr>
              <w:spacing w:after="40"/>
            </w:pPr>
            <w:r>
              <w:rPr>
                <w:rFonts w:ascii="Calibri" w:cs="Calibri" w:eastAsia="Calibri" w:hAnsi="Calibri"/>
                <w:b w:val="false"/>
                <w:bCs w:val="false"/>
                <w:sz w:val="20"/>
                <w:szCs w:val="20"/>
              </w:rPr>
              <w:t xml:space="preserve"/>
            </w:r>
          </w:p>
        </w:tc>
        <w:tc>
          <w:tcPr>
            <w:tcW w:type="pct" w:w="27%"/>
          </w:tcPr>
          <w:p>
            <w:pPr>
              <w:spacing w:after="40"/>
            </w:pPr>
            <w:r>
              <w:rPr>
                <w:rFonts w:ascii="Calibri" w:cs="Calibri" w:eastAsia="Calibri" w:hAnsi="Calibri"/>
                <w:b w:val="false"/>
                <w:bCs w:val="false"/>
                <w:sz w:val="20"/>
                <w:szCs w:val="20"/>
              </w:rPr>
              <w:t xml:space="preserve"/>
            </w:r>
          </w:p>
        </w:tc>
      </w:tr>
      <w:tr>
        <w:tc>
          <w:tcPr>
            <w:tcW w:type="pct" w:w="46%"/>
          </w:tcPr>
          <w:p>
            <w:pPr>
              <w:spacing w:after="40"/>
            </w:pPr>
            <w:r>
              <w:rPr>
                <w:rFonts w:ascii="Calibri" w:cs="Calibri" w:eastAsia="Calibri" w:hAnsi="Calibri"/>
                <w:b w:val="false"/>
                <w:bCs w:val="false"/>
                <w:sz w:val="20"/>
                <w:szCs w:val="20"/>
              </w:rPr>
              <w:t xml:space="preserve">Cotizaciones comparadas</w:t>
            </w:r>
          </w:p>
        </w:tc>
        <w:tc>
          <w:tcPr>
            <w:tcW w:type="pct" w:w="27%"/>
          </w:tcPr>
          <w:p>
            <w:pPr>
              <w:spacing w:after="40"/>
            </w:pPr>
            <w:r>
              <w:rPr>
                <w:rFonts w:ascii="Calibri" w:cs="Calibri" w:eastAsia="Calibri" w:hAnsi="Calibri"/>
                <w:b w:val="false"/>
                <w:bCs w:val="false"/>
                <w:sz w:val="20"/>
                <w:szCs w:val="20"/>
              </w:rPr>
              <w:t xml:space="preserve"/>
            </w:r>
          </w:p>
        </w:tc>
        <w:tc>
          <w:tcPr>
            <w:tcW w:type="pct" w:w="27%"/>
          </w:tcPr>
          <w:p>
            <w:pPr>
              <w:spacing w:after="40"/>
            </w:pPr>
            <w:r>
              <w:rPr>
                <w:rFonts w:ascii="Calibri" w:cs="Calibri" w:eastAsia="Calibri" w:hAnsi="Calibri"/>
                <w:b w:val="false"/>
                <w:bCs w:val="false"/>
                <w:sz w:val="20"/>
                <w:szCs w:val="20"/>
              </w:rPr>
              <w:t xml:space="preserve"/>
            </w:r>
          </w:p>
        </w:tc>
      </w:tr>
      <w:tr>
        <w:tc>
          <w:tcPr>
            <w:tcW w:type="pct" w:w="46%"/>
          </w:tcPr>
          <w:p>
            <w:pPr>
              <w:spacing w:after="40"/>
            </w:pPr>
            <w:r>
              <w:rPr>
                <w:rFonts w:ascii="Calibri" w:cs="Calibri" w:eastAsia="Calibri" w:hAnsi="Calibri"/>
                <w:b w:val="false"/>
                <w:bCs w:val="false"/>
                <w:sz w:val="20"/>
                <w:szCs w:val="20"/>
              </w:rPr>
              <w:t xml:space="preserve">Firma ante fedatario</w:t>
            </w:r>
          </w:p>
        </w:tc>
        <w:tc>
          <w:tcPr>
            <w:tcW w:type="pct" w:w="27%"/>
          </w:tcPr>
          <w:p>
            <w:pPr>
              <w:spacing w:after="40"/>
            </w:pPr>
            <w:r>
              <w:rPr>
                <w:rFonts w:ascii="Calibri" w:cs="Calibri" w:eastAsia="Calibri" w:hAnsi="Calibri"/>
                <w:b w:val="false"/>
                <w:bCs w:val="false"/>
                <w:sz w:val="20"/>
                <w:szCs w:val="20"/>
              </w:rPr>
              <w:t xml:space="preserve"/>
            </w:r>
          </w:p>
        </w:tc>
        <w:tc>
          <w:tcPr>
            <w:tcW w:type="pct" w:w="27%"/>
          </w:tcPr>
          <w:p>
            <w:pPr>
              <w:spacing w:after="40"/>
            </w:pPr>
            <w:r>
              <w:rPr>
                <w:rFonts w:ascii="Calibri" w:cs="Calibri" w:eastAsia="Calibri" w:hAnsi="Calibri"/>
                <w:b w:val="false"/>
                <w:bCs w:val="false"/>
                <w:sz w:val="20"/>
                <w:szCs w:val="20"/>
              </w:rPr>
              <w:t xml:space="preserve"/>
            </w:r>
          </w:p>
        </w:tc>
      </w:tr>
      <w:tr>
        <w:tc>
          <w:tcPr>
            <w:tcW w:type="pct" w:w="46%"/>
          </w:tcPr>
          <w:p>
            <w:pPr>
              <w:spacing w:after="40"/>
            </w:pPr>
            <w:r>
              <w:rPr>
                <w:rFonts w:ascii="Calibri" w:cs="Calibri" w:eastAsia="Calibri" w:hAnsi="Calibri"/>
                <w:b w:val="false"/>
                <w:bCs w:val="false"/>
                <w:sz w:val="20"/>
                <w:szCs w:val="20"/>
              </w:rPr>
              <w:t xml:space="preserve">Inscripción en el RPC</w:t>
            </w:r>
          </w:p>
        </w:tc>
        <w:tc>
          <w:tcPr>
            <w:tcW w:type="pct" w:w="27%"/>
          </w:tcPr>
          <w:p>
            <w:pPr>
              <w:spacing w:after="40"/>
            </w:pPr>
            <w:r>
              <w:rPr>
                <w:rFonts w:ascii="Calibri" w:cs="Calibri" w:eastAsia="Calibri" w:hAnsi="Calibri"/>
                <w:b w:val="false"/>
                <w:bCs w:val="false"/>
                <w:sz w:val="20"/>
                <w:szCs w:val="20"/>
              </w:rPr>
              <w:t xml:space="preserve"/>
            </w:r>
          </w:p>
        </w:tc>
        <w:tc>
          <w:tcPr>
            <w:tcW w:type="pct" w:w="27%"/>
          </w:tcPr>
          <w:p>
            <w:pPr>
              <w:spacing w:after="40"/>
            </w:pPr>
            <w:r>
              <w:rPr>
                <w:rFonts w:ascii="Calibri" w:cs="Calibri" w:eastAsia="Calibri" w:hAnsi="Calibri"/>
                <w:b w:val="false"/>
                <w:bCs w:val="false"/>
                <w:sz w:val="20"/>
                <w:szCs w:val="20"/>
              </w:rPr>
              <w:t xml:space="preserve"/>
            </w:r>
          </w:p>
        </w:tc>
      </w:tr>
      <w:tr>
        <w:tc>
          <w:tcPr>
            <w:tcW w:type="pct" w:w="46%"/>
          </w:tcPr>
          <w:p>
            <w:pPr>
              <w:spacing w:after="40"/>
            </w:pPr>
            <w:r>
              <w:rPr>
                <w:rFonts w:ascii="Calibri" w:cs="Calibri" w:eastAsia="Calibri" w:hAnsi="Calibri"/>
                <w:b w:val="false"/>
                <w:bCs w:val="false"/>
                <w:sz w:val="20"/>
                <w:szCs w:val="20"/>
              </w:rPr>
              <w:t xml:space="preserve">RFC de la sociedad</w:t>
            </w:r>
          </w:p>
        </w:tc>
        <w:tc>
          <w:tcPr>
            <w:tcW w:type="pct" w:w="27%"/>
          </w:tcPr>
          <w:p>
            <w:pPr>
              <w:spacing w:after="40"/>
            </w:pPr>
            <w:r>
              <w:rPr>
                <w:rFonts w:ascii="Calibri" w:cs="Calibri" w:eastAsia="Calibri" w:hAnsi="Calibri"/>
                <w:b w:val="false"/>
                <w:bCs w:val="false"/>
                <w:sz w:val="20"/>
                <w:szCs w:val="20"/>
              </w:rPr>
              <w:t xml:space="preserve"/>
            </w:r>
          </w:p>
        </w:tc>
        <w:tc>
          <w:tcPr>
            <w:tcW w:type="pct" w:w="27%"/>
          </w:tcPr>
          <w:p>
            <w:pPr>
              <w:spacing w:after="40"/>
            </w:pPr>
            <w:r>
              <w:rPr>
                <w:rFonts w:ascii="Calibri" w:cs="Calibri" w:eastAsia="Calibri" w:hAnsi="Calibri"/>
                <w:b w:val="false"/>
                <w:bCs w:val="false"/>
                <w:sz w:val="20"/>
                <w:szCs w:val="20"/>
              </w:rPr>
              <w:t xml:space="preserve"/>
            </w:r>
          </w:p>
        </w:tc>
      </w:tr>
      <w:tr>
        <w:tc>
          <w:tcPr>
            <w:tcW w:type="pct" w:w="46%"/>
          </w:tcPr>
          <w:p>
            <w:pPr>
              <w:spacing w:after="40"/>
            </w:pPr>
            <w:r>
              <w:rPr>
                <w:rFonts w:ascii="Calibri" w:cs="Calibri" w:eastAsia="Calibri" w:hAnsi="Calibri"/>
                <w:b w:val="false"/>
                <w:bCs w:val="false"/>
                <w:sz w:val="20"/>
                <w:szCs w:val="20"/>
              </w:rPr>
              <w:t xml:space="preserve">Cuenta bancaria</w:t>
            </w:r>
          </w:p>
        </w:tc>
        <w:tc>
          <w:tcPr>
            <w:tcW w:type="pct" w:w="27%"/>
          </w:tcPr>
          <w:p>
            <w:pPr>
              <w:spacing w:after="40"/>
            </w:pPr>
            <w:r>
              <w:rPr>
                <w:rFonts w:ascii="Calibri" w:cs="Calibri" w:eastAsia="Calibri" w:hAnsi="Calibri"/>
                <w:b w:val="false"/>
                <w:bCs w:val="false"/>
                <w:sz w:val="20"/>
                <w:szCs w:val="20"/>
              </w:rPr>
              <w:t xml:space="preserve"/>
            </w:r>
          </w:p>
        </w:tc>
        <w:tc>
          <w:tcPr>
            <w:tcW w:type="pct" w:w="27%"/>
          </w:tcPr>
          <w:p>
            <w:pPr>
              <w:spacing w:after="40"/>
            </w:pPr>
            <w:r>
              <w:rPr>
                <w:rFonts w:ascii="Calibri" w:cs="Calibri" w:eastAsia="Calibri" w:hAnsi="Calibri"/>
                <w:b w:val="false"/>
                <w:bCs w:val="false"/>
                <w:sz w:val="20"/>
                <w:szCs w:val="20"/>
              </w:rPr>
              <w:t xml:space="preserve"/>
            </w:r>
          </w:p>
        </w:tc>
      </w:tr>
    </w:tbl>
    <w:p>
      <w:pPr>
        <w:spacing w:before="300"/>
        <w:jc w:val="both"/>
      </w:pPr>
      <w:r>
        <w:rPr>
          <w:rFonts w:ascii="Calibri" w:cs="Calibri" w:eastAsia="Calibri" w:hAnsi="Calibri"/>
          <w:i/>
          <w:iCs/>
          <w:color w:val="666666"/>
          <w:sz w:val="18"/>
          <w:szCs w:val="18"/>
        </w:rPr>
        <w:t xml:space="preserve">Checklist elaborado por el equipo editorial de Trámites Notariales con base en la Ley General de Sociedades Mercantiles vigente. Documento orientativo que no sustituye la asesoría de un notario, corredor público o abogado. Los requisitos pueden variar entre notarías y entidades federativas.</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88888"/>
        <w:sz w:val="16"/>
        <w:szCs w:val="16"/>
      </w:rPr>
      <w:t xml:space="preserve">Checklist para constituir una sociedad · actasmx.tramitesnotariales.info · Página </w:t>
    </w:r>
    <w:r>
      <w:rPr>
        <w:rFonts w:ascii="Calibri" w:cs="Calibri" w:eastAsia="Calibri" w:hAnsi="Calibri"/>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 para constituir una sociedad</dc:title>
  <dc:creator>Tramites Notariales</dc:creator>
  <cp:lastModifiedBy>Un-named</cp:lastModifiedBy>
  <cp:revision>1</cp:revision>
  <dcterms:created xsi:type="dcterms:W3CDTF">2026-07-20T10:52:16.806Z</dcterms:created>
  <dcterms:modified xsi:type="dcterms:W3CDTF">2026-07-20T10:52:16.808Z</dcterms:modified>
</cp:coreProperties>
</file>

<file path=docProps/custom.xml><?xml version="1.0" encoding="utf-8"?>
<Properties xmlns="http://schemas.openxmlformats.org/officeDocument/2006/custom-properties" xmlns:vt="http://schemas.openxmlformats.org/officeDocument/2006/docPropsVTypes"/>
</file>